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A9A7" w14:textId="77777777" w:rsidR="009115C5" w:rsidRPr="009115C5" w:rsidRDefault="009115C5" w:rsidP="009115C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en-AU"/>
        </w:rPr>
      </w:pPr>
      <w:r w:rsidRPr="009115C5">
        <w:rPr>
          <w:rFonts w:ascii="Times New Roman" w:eastAsia="Times New Roman" w:hAnsi="Times New Roman" w:cs="Times New Roman"/>
          <w:color w:val="FFFFFF"/>
          <w:sz w:val="24"/>
          <w:szCs w:val="24"/>
          <w:lang w:eastAsia="en-AU"/>
        </w:rPr>
        <w:t>1</w:t>
      </w:r>
    </w:p>
    <w:p w14:paraId="51755BFC" w14:textId="77777777" w:rsidR="00554A55" w:rsidRDefault="009115C5" w:rsidP="009115C5">
      <w:pPr>
        <w:spacing w:line="240" w:lineRule="auto"/>
        <w:jc w:val="center"/>
        <w:rPr>
          <w:rFonts w:ascii="Arial" w:eastAsia="Times New Roman" w:hAnsi="Arial" w:cs="Arial"/>
          <w:color w:val="1D1C1D"/>
          <w:sz w:val="25"/>
          <w:szCs w:val="25"/>
          <w:lang w:eastAsia="en-AU"/>
        </w:rPr>
      </w:pPr>
      <w:r w:rsidRPr="009115C5">
        <w:rPr>
          <w:rFonts w:ascii="Arial" w:eastAsia="Times New Roman" w:hAnsi="Arial" w:cs="Arial"/>
          <w:color w:val="1D1C1D"/>
          <w:sz w:val="25"/>
          <w:szCs w:val="25"/>
          <w:lang w:eastAsia="en-AU"/>
        </w:rPr>
        <w:t>Aged Care Courses</w:t>
      </w:r>
    </w:p>
    <w:p w14:paraId="562377EF" w14:textId="3A76EF1E" w:rsidR="009115C5" w:rsidRPr="009115C5" w:rsidRDefault="009115C5" w:rsidP="009115C5">
      <w:pPr>
        <w:spacing w:line="240" w:lineRule="auto"/>
        <w:jc w:val="center"/>
        <w:rPr>
          <w:rFonts w:ascii="Arial" w:eastAsia="Times New Roman" w:hAnsi="Arial" w:cs="Arial"/>
          <w:color w:val="1D1C1D"/>
          <w:sz w:val="23"/>
          <w:szCs w:val="23"/>
          <w:lang w:eastAsia="en-AU"/>
        </w:rPr>
      </w:pP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1. Staff Induction (id,112079)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2. Disability Access and Inclusion (id,112081)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3. Disability Awareness</w:t>
      </w:r>
      <w:r w:rsidR="006262D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 xml:space="preserve"> (id,</w:t>
      </w:r>
      <w:r w:rsidR="009B00B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112077)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 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4. Human Resource Essentials </w:t>
      </w:r>
      <w:r w:rsidR="007029A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7029A0" w:rsidRPr="007029A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id,112143</w:t>
      </w:r>
      <w:r w:rsidR="007029A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5. Recruitment and Selection</w:t>
      </w:r>
      <w:r w:rsidR="008A798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 xml:space="preserve"> (</w:t>
      </w:r>
      <w:r w:rsidR="008A7989" w:rsidRPr="008A798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id,112155</w:t>
      </w:r>
      <w:r w:rsidR="008A798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 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6. Workplace Discrimination, Harassment and Bullying </w:t>
      </w:r>
      <w:r w:rsidR="000F2537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(id,</w:t>
      </w:r>
      <w:r w:rsidR="000F2537" w:rsidRPr="000F2537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112303</w:t>
      </w:r>
      <w:r w:rsidR="000F2537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7. Workplace Diversity </w:t>
      </w:r>
      <w:r w:rsidR="000C41D4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0C41D4" w:rsidRPr="000C41D4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id,112203</w:t>
      </w:r>
      <w:r w:rsidR="000C41D4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8. Accountable and Ethical Decision-Making </w:t>
      </w:r>
      <w:r w:rsidR="0040473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404731" w:rsidRPr="0040473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id,112095</w:t>
      </w:r>
      <w:r w:rsidR="0040473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9. Clinical Governance </w:t>
      </w:r>
      <w:r w:rsidR="00B14DC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B14DC1" w:rsidRPr="00B14DC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id,112089</w:t>
      </w:r>
      <w:r w:rsidR="00B14DC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10.Code of Conduct and Professional Standards </w:t>
      </w:r>
      <w:r w:rsidR="00E359E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E359E1" w:rsidRPr="00E359E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id,112163</w:t>
      </w:r>
      <w:r w:rsidR="00E359E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11.Ethics and Governance </w:t>
      </w:r>
      <w:r w:rsidR="0001798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017982" w:rsidRPr="0001798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id,112145</w:t>
      </w:r>
      <w:r w:rsidR="0001798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12.Public Interest Disclosure</w:t>
      </w:r>
      <w:r w:rsidR="00DF3CE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 xml:space="preserve"> (</w:t>
      </w:r>
      <w:r w:rsidR="00DF3CE0" w:rsidRPr="00DF3CE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id,112085</w:t>
      </w:r>
      <w:r w:rsidR="00DF3CE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 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13.Whistleblowing </w:t>
      </w:r>
      <w:r w:rsidR="00FB2BC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FB2BC3" w:rsidRPr="00FB2BC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id,112167</w:t>
      </w:r>
      <w:r w:rsidR="00FB2BC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14.Emergency Response and Incident Management </w:t>
      </w:r>
      <w:r w:rsidR="00727087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727087" w:rsidRPr="00727087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id,112874</w:t>
      </w:r>
      <w:r w:rsidR="00363BA6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-copy</w:t>
      </w:r>
      <w:r w:rsidR="00727087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 (</w:t>
      </w:r>
      <w:r w:rsidR="00363BA6" w:rsidRPr="00363BA6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id,112267</w:t>
      </w:r>
      <w:r w:rsidR="00363BA6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15.Fatigue Risk Management </w:t>
      </w:r>
      <w:r w:rsidR="00EA4F2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EA4F23" w:rsidRPr="00EA4F2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id,112147</w:t>
      </w:r>
      <w:r w:rsidR="00EA4F2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16.Fire Safety and Evacuation </w:t>
      </w:r>
      <w:r w:rsidR="00AF369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AF3695" w:rsidRPr="00AF369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id,112151</w:t>
      </w:r>
      <w:r w:rsidR="00AF369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17.First Aid Awareness </w:t>
      </w:r>
      <w:r w:rsidR="00816B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816BC5" w:rsidRPr="00816B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id,112137</w:t>
      </w:r>
      <w:r w:rsidR="00816B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18.Manual Handling </w:t>
      </w:r>
      <w:r w:rsidR="00CB616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CB6165" w:rsidRPr="00CB616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id,112223</w:t>
      </w:r>
      <w:r w:rsidR="00CB616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19.Personal Protective Equipment </w:t>
      </w:r>
      <w:r w:rsidR="0004343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04343C" w:rsidRPr="0004343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id,112185</w:t>
      </w:r>
      <w:r w:rsidR="0004343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20.Risk Management </w:t>
      </w:r>
      <w:r w:rsidR="003E302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3E3029" w:rsidRPr="003E302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id,112193</w:t>
      </w:r>
      <w:r w:rsidR="003E302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21.Safe Hand Hygiene </w:t>
      </w:r>
      <w:r w:rsidR="004A0F9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4A0F92" w:rsidRPr="004A0F9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id,112139</w:t>
      </w:r>
      <w:r w:rsidR="004A0F9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22.Warden Training </w:t>
      </w:r>
      <w:r w:rsidR="00063C6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063C63" w:rsidRPr="00063C6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id,12093</w:t>
      </w:r>
      <w:r w:rsidR="00063C63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23.WHS and Injury Management </w:t>
      </w:r>
      <w:r w:rsidR="00645DB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645DBB" w:rsidRPr="00645DB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id,112075</w:t>
      </w:r>
      <w:r w:rsidR="00645DB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24.WHS for Aged and Community Care </w:t>
      </w:r>
      <w:r w:rsidR="005800D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5800DC" w:rsidRPr="005800D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id,112487</w:t>
      </w:r>
      <w:r w:rsidR="005800DC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25.Appropriate Email Communication </w:t>
      </w:r>
      <w:r w:rsidR="00A2695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A26959" w:rsidRPr="00A2695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id,112175</w:t>
      </w:r>
      <w:r w:rsidR="00A26959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26.Cyber Security </w:t>
      </w:r>
      <w:r w:rsidR="006F503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6F5032" w:rsidRPr="006F503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id,112169</w:t>
      </w:r>
      <w:r w:rsidR="006F503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27.Freedom of Information </w:t>
      </w:r>
      <w:r w:rsidR="00335118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335118" w:rsidRPr="00335118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id,112093</w:t>
      </w:r>
      <w:r w:rsidR="00335118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28.Privacy </w:t>
      </w:r>
      <w:r w:rsidR="00EF234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EF2342" w:rsidRPr="00EF234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id,112153</w:t>
      </w:r>
      <w:r w:rsidR="00EF2342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29.Recordkeeping Awareness </w:t>
      </w:r>
      <w:r w:rsidR="00CD79BF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CD79BF" w:rsidRPr="00CD79BF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id,112271</w:t>
      </w:r>
      <w:r w:rsidR="00CD79BF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30.Social Media in the Workplace </w:t>
      </w:r>
      <w:r w:rsidR="005D531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5D5315" w:rsidRPr="005D531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id,112173</w:t>
      </w:r>
      <w:r w:rsidR="005D531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31.Care and Services Planning </w:t>
      </w:r>
      <w:r w:rsidR="00B23DC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B23DC1" w:rsidRPr="00B23DC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id,112265</w:t>
      </w:r>
      <w:r w:rsidR="00B23DC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32.Complaints Handling </w:t>
      </w:r>
      <w:r w:rsidR="00EE4E0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EE4E00" w:rsidRPr="00EE4E0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id,112099</w:t>
      </w:r>
      <w:r w:rsidR="00EE4E00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33.Continuous Quality Improvement </w:t>
      </w:r>
      <w:r w:rsidR="002168D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2168D1" w:rsidRPr="002168D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id,112135</w:t>
      </w:r>
      <w:r w:rsidR="002168D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34.Patient Interaction</w:t>
      </w:r>
      <w:r w:rsidR="002168D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 xml:space="preserve"> (</w:t>
      </w:r>
      <w:r w:rsidR="002168D1" w:rsidRPr="002168D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id,112141</w:t>
      </w:r>
      <w:r w:rsidR="002168D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 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35.Working with Consumers and Their Families </w:t>
      </w:r>
      <w:r w:rsidR="0086742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86742B" w:rsidRPr="0086742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id,112087</w:t>
      </w:r>
      <w:r w:rsidR="0086742B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  <w:r w:rsidRPr="009115C5">
        <w:rPr>
          <w:rFonts w:ascii="Arial" w:eastAsia="Times New Roman" w:hAnsi="Arial" w:cs="Arial"/>
          <w:color w:val="1D1C1D"/>
          <w:sz w:val="23"/>
          <w:szCs w:val="23"/>
          <w:lang w:eastAsia="en-AU"/>
        </w:rPr>
        <w:br/>
        <w:t>36.Managing Staff Performance </w:t>
      </w:r>
      <w:r w:rsidR="000177F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(</w:t>
      </w:r>
      <w:r w:rsidR="000177F1" w:rsidRPr="000177F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id,112269</w:t>
      </w:r>
      <w:r w:rsidR="000177F1">
        <w:rPr>
          <w:rFonts w:ascii="Arial" w:eastAsia="Times New Roman" w:hAnsi="Arial" w:cs="Arial"/>
          <w:color w:val="1D1C1D"/>
          <w:sz w:val="23"/>
          <w:szCs w:val="23"/>
          <w:lang w:eastAsia="en-AU"/>
        </w:rPr>
        <w:t>)</w:t>
      </w:r>
    </w:p>
    <w:p w14:paraId="5722A555" w14:textId="77777777" w:rsidR="008F5011" w:rsidRDefault="008F5011"/>
    <w:sectPr w:rsidR="008F5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C5"/>
    <w:rsid w:val="000177F1"/>
    <w:rsid w:val="00017982"/>
    <w:rsid w:val="0004343C"/>
    <w:rsid w:val="00063C63"/>
    <w:rsid w:val="000C41D4"/>
    <w:rsid w:val="000F2537"/>
    <w:rsid w:val="002168D1"/>
    <w:rsid w:val="00335118"/>
    <w:rsid w:val="00363BA6"/>
    <w:rsid w:val="003E3029"/>
    <w:rsid w:val="00404731"/>
    <w:rsid w:val="004A0F92"/>
    <w:rsid w:val="00554A55"/>
    <w:rsid w:val="005800DC"/>
    <w:rsid w:val="005D5315"/>
    <w:rsid w:val="006262DC"/>
    <w:rsid w:val="00645DBB"/>
    <w:rsid w:val="006F5032"/>
    <w:rsid w:val="007029A0"/>
    <w:rsid w:val="00727087"/>
    <w:rsid w:val="00816BC5"/>
    <w:rsid w:val="0086742B"/>
    <w:rsid w:val="008A7989"/>
    <w:rsid w:val="008F5011"/>
    <w:rsid w:val="009115C5"/>
    <w:rsid w:val="009B00BB"/>
    <w:rsid w:val="00A26959"/>
    <w:rsid w:val="00AF3695"/>
    <w:rsid w:val="00B14DC1"/>
    <w:rsid w:val="00B23DC1"/>
    <w:rsid w:val="00CB6165"/>
    <w:rsid w:val="00CD79BF"/>
    <w:rsid w:val="00DF3CE0"/>
    <w:rsid w:val="00E359E1"/>
    <w:rsid w:val="00EA4F23"/>
    <w:rsid w:val="00EE4E00"/>
    <w:rsid w:val="00EF2342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25F2"/>
  <w15:chartTrackingRefBased/>
  <w15:docId w15:val="{D4EEA708-B50F-4ABC-A97B-06842EF5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36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Mounika Edara</dc:creator>
  <cp:keywords/>
  <dc:description/>
  <cp:lastModifiedBy>Darren Thomas</cp:lastModifiedBy>
  <cp:revision>37</cp:revision>
  <dcterms:created xsi:type="dcterms:W3CDTF">2022-10-21T02:02:00Z</dcterms:created>
  <dcterms:modified xsi:type="dcterms:W3CDTF">2022-10-21T02:54:00Z</dcterms:modified>
</cp:coreProperties>
</file>